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18" w:rsidRDefault="00114318" w:rsidP="00852877">
      <w:pPr>
        <w:jc w:val="center"/>
        <w:rPr>
          <w:b/>
          <w:iCs/>
          <w:sz w:val="32"/>
          <w:szCs w:val="32"/>
        </w:rPr>
      </w:pPr>
      <w:r>
        <w:rPr>
          <w:b/>
          <w:iCs/>
          <w:sz w:val="32"/>
          <w:szCs w:val="32"/>
        </w:rPr>
        <w:t>MỘT SỐ KỸ NĂNG</w:t>
      </w:r>
    </w:p>
    <w:p w:rsidR="00852877" w:rsidRPr="00852877" w:rsidRDefault="00114318" w:rsidP="00852877">
      <w:pPr>
        <w:jc w:val="center"/>
        <w:rPr>
          <w:b/>
          <w:iCs/>
          <w:sz w:val="32"/>
          <w:szCs w:val="32"/>
        </w:rPr>
      </w:pPr>
      <w:r>
        <w:rPr>
          <w:b/>
          <w:iCs/>
          <w:sz w:val="32"/>
          <w:szCs w:val="32"/>
        </w:rPr>
        <w:t xml:space="preserve"> </w:t>
      </w:r>
      <w:r w:rsidR="00852877" w:rsidRPr="00852877">
        <w:rPr>
          <w:b/>
          <w:iCs/>
          <w:sz w:val="32"/>
          <w:szCs w:val="32"/>
        </w:rPr>
        <w:t xml:space="preserve">GIÁM SÁT </w:t>
      </w:r>
      <w:r>
        <w:rPr>
          <w:b/>
          <w:iCs/>
          <w:sz w:val="32"/>
          <w:szCs w:val="32"/>
        </w:rPr>
        <w:t>CỦA HỘI ĐỒNG NHÂN DÂN</w:t>
      </w:r>
    </w:p>
    <w:p w:rsidR="00824730" w:rsidRDefault="00852877" w:rsidP="00824730">
      <w:pPr>
        <w:spacing w:before="120" w:after="280" w:afterAutospacing="1"/>
        <w:rPr>
          <w:iCs/>
        </w:rPr>
      </w:pPr>
      <w:r>
        <w:rPr>
          <w:i/>
          <w:iCs/>
          <w:lang w:val="vi-VN"/>
        </w:rPr>
        <w:tab/>
      </w:r>
      <w:r>
        <w:rPr>
          <w:i/>
          <w:iCs/>
          <w:lang w:val="vi-VN"/>
        </w:rPr>
        <w:tab/>
      </w:r>
      <w:r>
        <w:rPr>
          <w:i/>
          <w:iCs/>
        </w:rPr>
        <w:t xml:space="preserve">   </w:t>
      </w:r>
      <w:r>
        <w:rPr>
          <w:iCs/>
        </w:rPr>
        <w:t xml:space="preserve">(Trịnh Đức Tài - Trưởng Ban Văn hóa - Xã </w:t>
      </w:r>
      <w:r w:rsidR="00824730">
        <w:rPr>
          <w:iCs/>
        </w:rPr>
        <w:t>hội HĐND</w:t>
      </w:r>
      <w:r w:rsidR="0024272F">
        <w:rPr>
          <w:iCs/>
        </w:rPr>
        <w:t xml:space="preserve"> tỉnh</w:t>
      </w:r>
      <w:r w:rsidR="00824730">
        <w:rPr>
          <w:iCs/>
        </w:rPr>
        <w:t>)</w:t>
      </w:r>
    </w:p>
    <w:p w:rsidR="00824730" w:rsidRDefault="00005D93" w:rsidP="00297408">
      <w:pPr>
        <w:spacing w:before="100" w:after="100"/>
        <w:jc w:val="both"/>
        <w:rPr>
          <w:b/>
          <w:iCs/>
          <w:sz w:val="28"/>
          <w:szCs w:val="28"/>
        </w:rPr>
      </w:pPr>
      <w:r>
        <w:rPr>
          <w:b/>
          <w:iCs/>
          <w:sz w:val="28"/>
          <w:szCs w:val="28"/>
        </w:rPr>
        <w:t>I</w:t>
      </w:r>
      <w:r w:rsidR="00824730" w:rsidRPr="00824730">
        <w:rPr>
          <w:b/>
          <w:iCs/>
          <w:sz w:val="28"/>
          <w:szCs w:val="28"/>
        </w:rPr>
        <w:t xml:space="preserve">. </w:t>
      </w:r>
      <w:r>
        <w:rPr>
          <w:b/>
          <w:iCs/>
          <w:sz w:val="28"/>
          <w:szCs w:val="28"/>
        </w:rPr>
        <w:t>Những vấn đề chung</w:t>
      </w:r>
    </w:p>
    <w:p w:rsidR="00824730" w:rsidRPr="00824730" w:rsidRDefault="00005D93" w:rsidP="00297408">
      <w:pPr>
        <w:spacing w:before="100" w:after="100"/>
        <w:ind w:firstLine="567"/>
        <w:jc w:val="both"/>
        <w:rPr>
          <w:b/>
          <w:iCs/>
          <w:sz w:val="28"/>
          <w:szCs w:val="28"/>
        </w:rPr>
      </w:pPr>
      <w:r>
        <w:rPr>
          <w:b/>
          <w:iCs/>
          <w:sz w:val="28"/>
          <w:szCs w:val="28"/>
        </w:rPr>
        <w:t xml:space="preserve">1. </w:t>
      </w:r>
      <w:r w:rsidR="00824730">
        <w:rPr>
          <w:b/>
          <w:iCs/>
          <w:sz w:val="28"/>
          <w:szCs w:val="28"/>
        </w:rPr>
        <w:t>Giám sát là gì?</w:t>
      </w:r>
    </w:p>
    <w:p w:rsidR="007C2506" w:rsidRDefault="007C2506" w:rsidP="00297408">
      <w:pPr>
        <w:spacing w:before="100" w:after="100"/>
        <w:ind w:firstLine="567"/>
        <w:jc w:val="both"/>
        <w:rPr>
          <w:sz w:val="28"/>
          <w:szCs w:val="28"/>
          <w:lang w:val="vi-VN"/>
        </w:rPr>
      </w:pPr>
      <w:r w:rsidRPr="00824730">
        <w:rPr>
          <w:i/>
          <w:iCs/>
          <w:sz w:val="28"/>
          <w:szCs w:val="28"/>
          <w:lang w:val="vi-VN"/>
        </w:rPr>
        <w:t>Giám sát</w:t>
      </w:r>
      <w:r w:rsidRPr="00824730">
        <w:rPr>
          <w:sz w:val="28"/>
          <w:szCs w:val="28"/>
          <w:lang w:val="vi-VN"/>
        </w:rPr>
        <w:t xml:space="preserve"> là việc </w:t>
      </w:r>
      <w:r w:rsidRPr="00824730">
        <w:rPr>
          <w:sz w:val="28"/>
          <w:szCs w:val="28"/>
          <w:u w:val="single"/>
          <w:lang w:val="vi-VN"/>
        </w:rPr>
        <w:t>chủ thể giám sát</w:t>
      </w:r>
      <w:r w:rsidRPr="00824730">
        <w:rPr>
          <w:sz w:val="28"/>
          <w:szCs w:val="28"/>
          <w:lang w:val="vi-VN"/>
        </w:rPr>
        <w:t xml:space="preserve"> theo dõi, xem xét, đánh giá hoạt động của cơ quan, tổ chức, cá nhân chịu sự giám sát trong việc tuân theo Hiến pháp và pháp luật về việc thực hiện nhiệm vụ, quyền hạn của mình, xử lý theo thẩm quyền hoặc yêu cầu, kiến n</w:t>
      </w:r>
      <w:r w:rsidR="00D6242E">
        <w:rPr>
          <w:sz w:val="28"/>
          <w:szCs w:val="28"/>
          <w:lang w:val="vi-VN"/>
        </w:rPr>
        <w:t>ghị cơ quan có thẩm quyền xử lý (</w:t>
      </w:r>
      <w:r w:rsidR="00D6242E">
        <w:rPr>
          <w:sz w:val="28"/>
          <w:szCs w:val="28"/>
        </w:rPr>
        <w:t>Điều 2, Luật HĐGSQH-HĐND</w:t>
      </w:r>
      <w:r w:rsidR="00D6242E">
        <w:rPr>
          <w:sz w:val="28"/>
          <w:szCs w:val="28"/>
          <w:lang w:val="vi-VN"/>
        </w:rPr>
        <w:t>).</w:t>
      </w:r>
    </w:p>
    <w:p w:rsidR="00D6242E" w:rsidRDefault="00D6242E" w:rsidP="00297408">
      <w:pPr>
        <w:spacing w:before="100" w:after="100"/>
        <w:ind w:firstLine="567"/>
        <w:jc w:val="both"/>
        <w:rPr>
          <w:sz w:val="28"/>
          <w:szCs w:val="28"/>
          <w:lang w:val="vi-VN"/>
        </w:rPr>
      </w:pPr>
      <w:r w:rsidRPr="00D6242E">
        <w:rPr>
          <w:i/>
          <w:iCs/>
          <w:sz w:val="28"/>
          <w:szCs w:val="28"/>
          <w:lang w:val="vi-VN"/>
        </w:rPr>
        <w:t>Chủ thể giám sát</w:t>
      </w:r>
      <w:r w:rsidRPr="00D6242E">
        <w:rPr>
          <w:sz w:val="28"/>
          <w:szCs w:val="28"/>
          <w:lang w:val="vi-VN"/>
        </w:rPr>
        <w:t xml:space="preserve"> bao gồm Hội đồng nhân dân, Thường trực Hội đồng nhân dân, các Ban của Hội đồng nhân dân, Tổ đại biểu Hội đồng nhân dân, đại biểu Hội đồng nhân dân.</w:t>
      </w:r>
    </w:p>
    <w:p w:rsidR="00C361F6" w:rsidRPr="00C361F6" w:rsidRDefault="00C361F6" w:rsidP="00297408">
      <w:pPr>
        <w:spacing w:before="100" w:after="100"/>
        <w:ind w:firstLine="567"/>
        <w:jc w:val="both"/>
        <w:rPr>
          <w:b/>
          <w:sz w:val="28"/>
          <w:szCs w:val="28"/>
        </w:rPr>
      </w:pPr>
      <w:r w:rsidRPr="00C361F6">
        <w:rPr>
          <w:b/>
          <w:sz w:val="28"/>
          <w:szCs w:val="28"/>
        </w:rPr>
        <w:t>2. Giám sát chuyên đề là gì?</w:t>
      </w:r>
    </w:p>
    <w:p w:rsidR="00D6242E" w:rsidRPr="00D6242E" w:rsidRDefault="00D6242E" w:rsidP="00297408">
      <w:pPr>
        <w:spacing w:before="100" w:after="100"/>
        <w:ind w:firstLine="567"/>
        <w:jc w:val="both"/>
        <w:rPr>
          <w:sz w:val="28"/>
          <w:szCs w:val="28"/>
        </w:rPr>
      </w:pPr>
      <w:r w:rsidRPr="00D6242E">
        <w:rPr>
          <w:i/>
          <w:iCs/>
          <w:sz w:val="28"/>
          <w:szCs w:val="28"/>
          <w:lang w:val="vi-VN"/>
        </w:rPr>
        <w:t>Giám sát chuyên đề</w:t>
      </w:r>
      <w:r w:rsidRPr="00D6242E">
        <w:rPr>
          <w:sz w:val="28"/>
          <w:szCs w:val="28"/>
          <w:lang w:val="vi-VN"/>
        </w:rPr>
        <w:t xml:space="preserve"> là việc chủ thể giám sát theo dõi, xem xét, đánh giá vấn đề hoặc hoạt động của cơ quan, tổ chức, cá nhân chịu sự giám sát trong việc tuân theo Hiến pháp và pháp luật.</w:t>
      </w:r>
    </w:p>
    <w:p w:rsidR="00D6242E" w:rsidRDefault="00D6242E" w:rsidP="00297408">
      <w:pPr>
        <w:spacing w:before="100" w:after="100"/>
        <w:ind w:firstLine="567"/>
        <w:jc w:val="both"/>
        <w:rPr>
          <w:sz w:val="28"/>
          <w:szCs w:val="28"/>
          <w:lang w:val="vi-VN"/>
        </w:rPr>
      </w:pPr>
      <w:r w:rsidRPr="00D6242E">
        <w:rPr>
          <w:i/>
          <w:iCs/>
          <w:sz w:val="28"/>
          <w:szCs w:val="28"/>
          <w:lang w:val="vi-VN"/>
        </w:rPr>
        <w:t>Giám sát của Hội đồng nhân dân</w:t>
      </w:r>
      <w:r w:rsidRPr="00D6242E">
        <w:rPr>
          <w:sz w:val="28"/>
          <w:szCs w:val="28"/>
          <w:lang w:val="vi-VN"/>
        </w:rPr>
        <w:t xml:space="preserve"> bao gồm giám sát của Hội đồng nhân dân tại kỳ họp, giám sát của Thường trực Hội đồng nhân dân, các Ban của Hội đồng nhân </w:t>
      </w:r>
      <w:r w:rsidRPr="00C361F6">
        <w:rPr>
          <w:sz w:val="28"/>
          <w:szCs w:val="28"/>
          <w:lang w:val="vi-VN"/>
        </w:rPr>
        <w:t>dân, Tổ đại biểu Hội đồng nhân dân và các đại biểu Hội đồng nhân dân.</w:t>
      </w:r>
    </w:p>
    <w:p w:rsidR="00C361F6" w:rsidRPr="00C361F6" w:rsidRDefault="00C361F6" w:rsidP="00297408">
      <w:pPr>
        <w:spacing w:before="100" w:after="100"/>
        <w:ind w:firstLine="567"/>
        <w:jc w:val="both"/>
        <w:rPr>
          <w:b/>
          <w:sz w:val="28"/>
          <w:szCs w:val="28"/>
        </w:rPr>
      </w:pPr>
      <w:r w:rsidRPr="00C361F6">
        <w:rPr>
          <w:b/>
          <w:sz w:val="28"/>
          <w:szCs w:val="28"/>
        </w:rPr>
        <w:t>3. Thẩm quyền giám sát của HĐND</w:t>
      </w:r>
    </w:p>
    <w:p w:rsidR="00C361F6" w:rsidRPr="00C361F6" w:rsidRDefault="00C361F6" w:rsidP="00297408">
      <w:pPr>
        <w:spacing w:before="100" w:after="100"/>
        <w:ind w:firstLine="567"/>
        <w:jc w:val="both"/>
        <w:rPr>
          <w:sz w:val="28"/>
          <w:szCs w:val="28"/>
        </w:rPr>
      </w:pPr>
      <w:r w:rsidRPr="00C361F6">
        <w:rPr>
          <w:sz w:val="28"/>
          <w:szCs w:val="28"/>
          <w:lang w:val="vi-VN"/>
        </w:rPr>
        <w:t xml:space="preserve">Hội đồng nhân dân giám sát việc tuân theo Hiến pháp, </w:t>
      </w:r>
      <w:r w:rsidR="00305F72">
        <w:rPr>
          <w:sz w:val="28"/>
          <w:szCs w:val="28"/>
        </w:rPr>
        <w:t>Luật, các quy định dưới Luật</w:t>
      </w:r>
      <w:r w:rsidR="00C11C46">
        <w:rPr>
          <w:sz w:val="28"/>
          <w:szCs w:val="28"/>
        </w:rPr>
        <w:t xml:space="preserve"> </w:t>
      </w:r>
      <w:r w:rsidRPr="00C361F6">
        <w:rPr>
          <w:sz w:val="28"/>
          <w:szCs w:val="28"/>
          <w:lang w:val="vi-VN"/>
        </w:rPr>
        <w:t xml:space="preserve">và việc thực hiện nghị quyết của Hội đồng nhân dân </w:t>
      </w:r>
      <w:r w:rsidR="00C11C46">
        <w:rPr>
          <w:sz w:val="28"/>
          <w:szCs w:val="28"/>
        </w:rPr>
        <w:t xml:space="preserve">cấp Tỉnh, HĐND </w:t>
      </w:r>
      <w:r w:rsidRPr="00C361F6">
        <w:rPr>
          <w:sz w:val="28"/>
          <w:szCs w:val="28"/>
          <w:lang w:val="vi-VN"/>
        </w:rPr>
        <w:t>cùng cấp; giám sát hoạt động của Thường trực Hội đồng nhân dân, Ủy ban nhân dân, Tòa án nhân dân, Viện kiểm sát nhân dân, cơ quan thi hành án dân sự cùng cấp và Ban của Hội đồng nhân dân cấp mình; giám sát quyết định của Ủy ban nhân dân cùng cấp và nghị quyết của Hội đồng nhân dân cấp dưới trực tiếp</w:t>
      </w:r>
      <w:r>
        <w:rPr>
          <w:sz w:val="28"/>
          <w:szCs w:val="28"/>
        </w:rPr>
        <w:t>; Thường trực HĐND, các Ban HĐND, Tổ đại biểu HĐND,… (Điều 5</w:t>
      </w:r>
      <w:r w:rsidR="003B7DDF">
        <w:rPr>
          <w:sz w:val="28"/>
          <w:szCs w:val="28"/>
        </w:rPr>
        <w:t>, Luật HĐGSQH-HĐND</w:t>
      </w:r>
      <w:r>
        <w:rPr>
          <w:sz w:val="28"/>
          <w:szCs w:val="28"/>
        </w:rPr>
        <w:t>).</w:t>
      </w:r>
    </w:p>
    <w:p w:rsidR="007C2506" w:rsidRPr="00C361F6" w:rsidRDefault="00C361F6" w:rsidP="00297408">
      <w:pPr>
        <w:spacing w:before="100" w:after="100"/>
        <w:ind w:firstLine="567"/>
        <w:jc w:val="both"/>
        <w:rPr>
          <w:sz w:val="28"/>
          <w:szCs w:val="28"/>
        </w:rPr>
      </w:pPr>
      <w:r w:rsidRPr="00C361F6">
        <w:rPr>
          <w:b/>
          <w:sz w:val="28"/>
          <w:szCs w:val="28"/>
        </w:rPr>
        <w:t>4</w:t>
      </w:r>
      <w:r w:rsidR="0073378F" w:rsidRPr="00C361F6">
        <w:rPr>
          <w:b/>
          <w:sz w:val="28"/>
          <w:szCs w:val="28"/>
        </w:rPr>
        <w:t xml:space="preserve">. </w:t>
      </w:r>
      <w:bookmarkStart w:id="0" w:name="dieu_3"/>
      <w:r w:rsidR="007C2506" w:rsidRPr="00C361F6">
        <w:rPr>
          <w:b/>
          <w:bCs/>
          <w:sz w:val="28"/>
          <w:szCs w:val="28"/>
        </w:rPr>
        <w:t>Nguyên tắc hoạt động giám sát</w:t>
      </w:r>
      <w:bookmarkEnd w:id="0"/>
    </w:p>
    <w:p w:rsidR="007C2506" w:rsidRPr="00824730" w:rsidRDefault="00593C4C" w:rsidP="00297408">
      <w:pPr>
        <w:spacing w:before="100" w:after="100"/>
        <w:ind w:firstLine="567"/>
        <w:jc w:val="both"/>
        <w:rPr>
          <w:sz w:val="28"/>
          <w:szCs w:val="28"/>
        </w:rPr>
      </w:pPr>
      <w:r>
        <w:rPr>
          <w:sz w:val="28"/>
          <w:szCs w:val="28"/>
        </w:rPr>
        <w:t>-</w:t>
      </w:r>
      <w:r w:rsidR="007C2506" w:rsidRPr="00824730">
        <w:rPr>
          <w:sz w:val="28"/>
          <w:szCs w:val="28"/>
          <w:lang w:val="vi-VN"/>
        </w:rPr>
        <w:t xml:space="preserve"> Tuân thủ Hiến pháp và pháp luật.</w:t>
      </w:r>
    </w:p>
    <w:p w:rsidR="007C2506" w:rsidRPr="00824730" w:rsidRDefault="00593C4C" w:rsidP="00297408">
      <w:pPr>
        <w:spacing w:before="100" w:after="100"/>
        <w:ind w:firstLine="567"/>
        <w:jc w:val="both"/>
        <w:rPr>
          <w:sz w:val="28"/>
          <w:szCs w:val="28"/>
        </w:rPr>
      </w:pPr>
      <w:r>
        <w:rPr>
          <w:sz w:val="28"/>
          <w:szCs w:val="28"/>
        </w:rPr>
        <w:t>-</w:t>
      </w:r>
      <w:r w:rsidR="007C2506" w:rsidRPr="00824730">
        <w:rPr>
          <w:sz w:val="28"/>
          <w:szCs w:val="28"/>
          <w:lang w:val="vi-VN"/>
        </w:rPr>
        <w:t xml:space="preserve"> Bảo đảm khách quan, công khai, minh bạch, hiệu quả.</w:t>
      </w:r>
    </w:p>
    <w:p w:rsidR="007C2506" w:rsidRDefault="00593C4C" w:rsidP="00297408">
      <w:pPr>
        <w:spacing w:before="100" w:after="100"/>
        <w:ind w:firstLine="567"/>
        <w:jc w:val="both"/>
        <w:rPr>
          <w:sz w:val="28"/>
          <w:szCs w:val="28"/>
          <w:lang w:val="vi-VN"/>
        </w:rPr>
      </w:pPr>
      <w:r>
        <w:rPr>
          <w:sz w:val="28"/>
          <w:szCs w:val="28"/>
        </w:rPr>
        <w:t>-</w:t>
      </w:r>
      <w:r w:rsidR="007C2506" w:rsidRPr="00824730">
        <w:rPr>
          <w:sz w:val="28"/>
          <w:szCs w:val="28"/>
          <w:lang w:val="vi-VN"/>
        </w:rPr>
        <w:t xml:space="preserve"> Không làm cản trở đến hoạt động bình thường của cơ quan, tổ chức, cá nhân chịu sự giám sát.</w:t>
      </w:r>
    </w:p>
    <w:p w:rsidR="007C2506" w:rsidRPr="00824730" w:rsidRDefault="00C361F6" w:rsidP="00297408">
      <w:pPr>
        <w:spacing w:before="100" w:after="100"/>
        <w:ind w:firstLine="567"/>
        <w:jc w:val="both"/>
        <w:rPr>
          <w:sz w:val="28"/>
          <w:szCs w:val="28"/>
        </w:rPr>
      </w:pPr>
      <w:bookmarkStart w:id="1" w:name="dieu_7"/>
      <w:r>
        <w:rPr>
          <w:b/>
          <w:bCs/>
          <w:sz w:val="28"/>
          <w:szCs w:val="28"/>
        </w:rPr>
        <w:t>5</w:t>
      </w:r>
      <w:r w:rsidR="0073378F">
        <w:rPr>
          <w:b/>
          <w:bCs/>
          <w:sz w:val="28"/>
          <w:szCs w:val="28"/>
        </w:rPr>
        <w:t>.</w:t>
      </w:r>
      <w:r w:rsidR="007C2506" w:rsidRPr="00824730">
        <w:rPr>
          <w:b/>
          <w:bCs/>
          <w:sz w:val="28"/>
          <w:szCs w:val="28"/>
        </w:rPr>
        <w:t xml:space="preserve"> Trách nhiệm của cơ quan, tổ chức, cá nhân chịu sự giám sát</w:t>
      </w:r>
      <w:bookmarkEnd w:id="1"/>
    </w:p>
    <w:p w:rsidR="0073378F" w:rsidRDefault="007C2506" w:rsidP="00297408">
      <w:pPr>
        <w:spacing w:before="100" w:after="100"/>
        <w:ind w:firstLine="567"/>
        <w:jc w:val="both"/>
        <w:rPr>
          <w:spacing w:val="-4"/>
          <w:sz w:val="28"/>
          <w:szCs w:val="28"/>
        </w:rPr>
      </w:pPr>
      <w:r w:rsidRPr="0079122B">
        <w:rPr>
          <w:spacing w:val="-4"/>
          <w:sz w:val="28"/>
          <w:szCs w:val="28"/>
          <w:lang w:val="vi-VN"/>
        </w:rPr>
        <w:t>Cơ quan, tổ chức, cá nhân chịu sự giám sát phải thực hiện đầy đủ kế hoạch, nội dung, yêu cầu giám sát của chủ thể giám sát; cung cấp thông tin liên quan đến nhiệm vụ của mình, trừ thông tin thuộc danh mục bí mật nhà nước mà theo quy định của pháp luật về bảo vệ bí mật nhà nước thì chủ thể giám sát đó không thuộc diện được tiếp cận; báo cáo trung thực, khách quan, đầy đủ, kịp thời theo yêu cầu của cơ quan, cá nhân có thẩm quyền giám sát</w:t>
      </w:r>
      <w:r w:rsidR="0073378F" w:rsidRPr="0079122B">
        <w:rPr>
          <w:spacing w:val="-4"/>
          <w:sz w:val="28"/>
          <w:szCs w:val="28"/>
        </w:rPr>
        <w:t xml:space="preserve"> và nghiêm túc thực hiện các kết luận của chủ thể giám sát.</w:t>
      </w:r>
    </w:p>
    <w:p w:rsidR="00D96ACC" w:rsidRPr="00005D93" w:rsidRDefault="00005D93" w:rsidP="00297408">
      <w:pPr>
        <w:spacing w:before="100" w:after="100"/>
        <w:jc w:val="both"/>
        <w:rPr>
          <w:b/>
          <w:sz w:val="28"/>
          <w:szCs w:val="28"/>
        </w:rPr>
      </w:pPr>
      <w:r w:rsidRPr="00005D93">
        <w:rPr>
          <w:b/>
          <w:sz w:val="28"/>
          <w:szCs w:val="28"/>
        </w:rPr>
        <w:lastRenderedPageBreak/>
        <w:t xml:space="preserve">II. </w:t>
      </w:r>
      <w:r w:rsidR="00D96ACC" w:rsidRPr="00005D93">
        <w:rPr>
          <w:b/>
          <w:sz w:val="28"/>
          <w:szCs w:val="28"/>
        </w:rPr>
        <w:t>K</w:t>
      </w:r>
      <w:r w:rsidR="00D96ACC">
        <w:rPr>
          <w:b/>
          <w:sz w:val="28"/>
          <w:szCs w:val="28"/>
        </w:rPr>
        <w:t xml:space="preserve">ỹ năng </w:t>
      </w:r>
      <w:r w:rsidR="00D96ACC" w:rsidRPr="00005D93">
        <w:rPr>
          <w:b/>
          <w:sz w:val="28"/>
          <w:szCs w:val="28"/>
        </w:rPr>
        <w:t xml:space="preserve">giám sát chuyên đề </w:t>
      </w:r>
      <w:r w:rsidR="00D96ACC">
        <w:rPr>
          <w:b/>
          <w:sz w:val="28"/>
          <w:szCs w:val="28"/>
        </w:rPr>
        <w:t>của HĐND</w:t>
      </w:r>
    </w:p>
    <w:p w:rsidR="00D96ACC" w:rsidRPr="00D96ACC" w:rsidRDefault="00D96ACC" w:rsidP="00297408">
      <w:pPr>
        <w:spacing w:before="100" w:after="100"/>
        <w:ind w:firstLine="567"/>
        <w:jc w:val="both"/>
        <w:rPr>
          <w:b/>
          <w:sz w:val="28"/>
          <w:szCs w:val="28"/>
        </w:rPr>
      </w:pPr>
      <w:r w:rsidRPr="00D96ACC">
        <w:rPr>
          <w:b/>
          <w:sz w:val="28"/>
          <w:szCs w:val="28"/>
        </w:rPr>
        <w:t xml:space="preserve">1. </w:t>
      </w:r>
      <w:r w:rsidR="006246AC">
        <w:rPr>
          <w:b/>
          <w:sz w:val="28"/>
          <w:szCs w:val="28"/>
        </w:rPr>
        <w:t xml:space="preserve">Một số </w:t>
      </w:r>
      <w:r w:rsidRPr="00D96ACC">
        <w:rPr>
          <w:b/>
          <w:sz w:val="28"/>
          <w:szCs w:val="28"/>
        </w:rPr>
        <w:t>hạn chế</w:t>
      </w:r>
    </w:p>
    <w:p w:rsidR="00D96ACC" w:rsidRDefault="00D96ACC" w:rsidP="00297408">
      <w:pPr>
        <w:spacing w:before="100" w:after="100"/>
        <w:ind w:firstLine="567"/>
        <w:jc w:val="both"/>
        <w:rPr>
          <w:b/>
          <w:sz w:val="28"/>
          <w:szCs w:val="28"/>
        </w:rPr>
      </w:pPr>
      <w:r>
        <w:rPr>
          <w:sz w:val="28"/>
          <w:szCs w:val="28"/>
        </w:rPr>
        <w:t>T</w:t>
      </w:r>
      <w:r w:rsidRPr="00D96ACC">
        <w:rPr>
          <w:sz w:val="28"/>
          <w:szCs w:val="28"/>
        </w:rPr>
        <w:t>rong thực tiễn, hoạt động giám sát của HĐND trong thời gian qua bên cạnh những kết quả đạt được vẫn còn bộc lộ một số hạn chế như: cách thức tổ chức giám sát chưa khoa học, hiệu quả giám sát chưa cao, phương thức và nội dung giám sát chưa được đổi mới toàn diện, khả năng phát hiện các vấn đề trong quá trình giám sát của đại biểu HĐND còn yếu</w:t>
      </w:r>
      <w:r w:rsidR="00C11C46">
        <w:rPr>
          <w:sz w:val="28"/>
          <w:szCs w:val="28"/>
        </w:rPr>
        <w:t>;</w:t>
      </w:r>
      <w:r w:rsidRPr="00D96ACC">
        <w:rPr>
          <w:sz w:val="28"/>
          <w:szCs w:val="28"/>
        </w:rPr>
        <w:t xml:space="preserve"> việc theo dõi, đôn đốc các cơ quan chức năng thực hiện các kết luận, kiến nghị sau giám sát của HĐND c</w:t>
      </w:r>
      <w:r w:rsidR="00C11C46">
        <w:rPr>
          <w:sz w:val="28"/>
          <w:szCs w:val="28"/>
        </w:rPr>
        <w:t xml:space="preserve">hưa </w:t>
      </w:r>
      <w:r w:rsidRPr="00D96ACC">
        <w:rPr>
          <w:sz w:val="28"/>
          <w:szCs w:val="28"/>
        </w:rPr>
        <w:t>quyết liệt…Để khắc phục tình trạng nêu trên và triển khai hiệu quả Luật hoạt động giám sát của Quốc hội và HĐND năm 2015, yêu cầu cấp thiết đặt ra đối với hoạt động của HĐND các cấp trong nhiệm kỳ 20</w:t>
      </w:r>
      <w:r w:rsidR="00C11C46">
        <w:rPr>
          <w:sz w:val="28"/>
          <w:szCs w:val="28"/>
        </w:rPr>
        <w:t>2</w:t>
      </w:r>
      <w:r w:rsidRPr="00D96ACC">
        <w:rPr>
          <w:sz w:val="28"/>
          <w:szCs w:val="28"/>
        </w:rPr>
        <w:t xml:space="preserve">1 </w:t>
      </w:r>
      <w:r>
        <w:rPr>
          <w:sz w:val="28"/>
          <w:szCs w:val="28"/>
        </w:rPr>
        <w:t>-</w:t>
      </w:r>
      <w:r w:rsidRPr="00D96ACC">
        <w:rPr>
          <w:sz w:val="28"/>
          <w:szCs w:val="28"/>
        </w:rPr>
        <w:t xml:space="preserve"> 202</w:t>
      </w:r>
      <w:r w:rsidR="00C11C46">
        <w:rPr>
          <w:sz w:val="28"/>
          <w:szCs w:val="28"/>
        </w:rPr>
        <w:t>6</w:t>
      </w:r>
      <w:r w:rsidRPr="00D96ACC">
        <w:rPr>
          <w:sz w:val="28"/>
          <w:szCs w:val="28"/>
        </w:rPr>
        <w:t xml:space="preserve"> là nâng cao hơn nữa hiệu quả giám sát của HĐND để HĐND thực sự là cơ quan đại diện cho quyền và lợi ích </w:t>
      </w:r>
      <w:r w:rsidR="00D83DC4">
        <w:rPr>
          <w:sz w:val="28"/>
          <w:szCs w:val="28"/>
        </w:rPr>
        <w:t xml:space="preserve">hợp pháp </w:t>
      </w:r>
      <w:r w:rsidRPr="00D96ACC">
        <w:rPr>
          <w:sz w:val="28"/>
          <w:szCs w:val="28"/>
        </w:rPr>
        <w:t>của Nhân dân.</w:t>
      </w:r>
    </w:p>
    <w:p w:rsidR="00D96ACC" w:rsidRDefault="00D96ACC" w:rsidP="00297408">
      <w:pPr>
        <w:spacing w:before="100" w:after="100"/>
        <w:ind w:firstLine="567"/>
        <w:jc w:val="both"/>
        <w:rPr>
          <w:b/>
          <w:sz w:val="28"/>
          <w:szCs w:val="28"/>
        </w:rPr>
      </w:pPr>
      <w:r>
        <w:rPr>
          <w:b/>
          <w:sz w:val="28"/>
          <w:szCs w:val="28"/>
        </w:rPr>
        <w:t>2. Kỹ năng giám sát chuyên đề của HĐND</w:t>
      </w:r>
    </w:p>
    <w:p w:rsidR="0024272F" w:rsidRPr="0014721F" w:rsidRDefault="00D96ACC" w:rsidP="00297408">
      <w:pPr>
        <w:spacing w:before="100" w:after="100"/>
        <w:ind w:firstLine="567"/>
        <w:jc w:val="both"/>
        <w:rPr>
          <w:b/>
          <w:sz w:val="28"/>
          <w:szCs w:val="28"/>
        </w:rPr>
      </w:pPr>
      <w:r w:rsidRPr="0014721F">
        <w:rPr>
          <w:b/>
          <w:sz w:val="28"/>
          <w:szCs w:val="28"/>
        </w:rPr>
        <w:t>2.</w:t>
      </w:r>
      <w:r w:rsidR="008072A7" w:rsidRPr="0014721F">
        <w:rPr>
          <w:b/>
          <w:sz w:val="28"/>
          <w:szCs w:val="28"/>
        </w:rPr>
        <w:t xml:space="preserve">1. </w:t>
      </w:r>
      <w:r w:rsidR="0024272F" w:rsidRPr="0014721F">
        <w:rPr>
          <w:b/>
          <w:sz w:val="28"/>
          <w:szCs w:val="28"/>
        </w:rPr>
        <w:t>Công tác chuẩn bị</w:t>
      </w:r>
    </w:p>
    <w:p w:rsidR="008072A7" w:rsidRDefault="008072A7" w:rsidP="00297408">
      <w:pPr>
        <w:spacing w:before="100" w:after="100"/>
        <w:ind w:firstLine="567"/>
        <w:jc w:val="both"/>
        <w:rPr>
          <w:sz w:val="28"/>
          <w:szCs w:val="28"/>
        </w:rPr>
      </w:pPr>
      <w:r>
        <w:rPr>
          <w:sz w:val="28"/>
          <w:szCs w:val="28"/>
        </w:rPr>
        <w:t xml:space="preserve">- Nội dung giám sát </w:t>
      </w:r>
      <w:r w:rsidR="0024272F">
        <w:rPr>
          <w:sz w:val="28"/>
          <w:szCs w:val="28"/>
        </w:rPr>
        <w:t xml:space="preserve">chuyên đề </w:t>
      </w:r>
      <w:r>
        <w:rPr>
          <w:sz w:val="28"/>
          <w:szCs w:val="28"/>
        </w:rPr>
        <w:t xml:space="preserve">phải </w:t>
      </w:r>
      <w:r w:rsidR="0024272F">
        <w:rPr>
          <w:sz w:val="28"/>
          <w:szCs w:val="28"/>
        </w:rPr>
        <w:t xml:space="preserve">được xây dựng từ cuối năm trước (trừ trường hợp đột xuất) và </w:t>
      </w:r>
      <w:r>
        <w:rPr>
          <w:sz w:val="28"/>
          <w:szCs w:val="28"/>
        </w:rPr>
        <w:t xml:space="preserve">có trong </w:t>
      </w:r>
      <w:r w:rsidR="0024272F">
        <w:rPr>
          <w:sz w:val="28"/>
          <w:szCs w:val="28"/>
        </w:rPr>
        <w:t xml:space="preserve">Kế hoạch </w:t>
      </w:r>
      <w:r>
        <w:rPr>
          <w:sz w:val="28"/>
          <w:szCs w:val="28"/>
        </w:rPr>
        <w:t>công tác năm;</w:t>
      </w:r>
    </w:p>
    <w:p w:rsidR="00D83DC4" w:rsidRDefault="0024272F" w:rsidP="00297408">
      <w:pPr>
        <w:pStyle w:val="NormalWeb"/>
        <w:spacing w:beforeAutospacing="0" w:afterAutospacing="0"/>
        <w:ind w:firstLine="567"/>
        <w:jc w:val="both"/>
        <w:rPr>
          <w:sz w:val="28"/>
          <w:szCs w:val="28"/>
        </w:rPr>
      </w:pPr>
      <w:r>
        <w:rPr>
          <w:sz w:val="28"/>
          <w:szCs w:val="28"/>
        </w:rPr>
        <w:t>- Xây dựng Quyết định thành lập Đoàn giám sát</w:t>
      </w:r>
      <w:r w:rsidR="002323CC">
        <w:rPr>
          <w:sz w:val="28"/>
          <w:szCs w:val="28"/>
        </w:rPr>
        <w:t xml:space="preserve">: </w:t>
      </w:r>
      <w:r w:rsidR="0014721F" w:rsidRPr="00D96ACC">
        <w:rPr>
          <w:sz w:val="28"/>
          <w:szCs w:val="28"/>
        </w:rPr>
        <w:t xml:space="preserve">xác định rõ đối tượng, phạm vi, nội dung, kế hoạch giám sát và thành phần đoàn giám sát; xét thấy cần thiết có thể mời thành viên là đại diện Ban Thường trực UBMTTQ, đại diện các tổ chức thành viên mặt trận và chuyên gia về lĩnh vực cần giám sát tham gia các hoạt động giám sát. </w:t>
      </w:r>
    </w:p>
    <w:p w:rsidR="008072A7" w:rsidRDefault="00D83DC4" w:rsidP="00297408">
      <w:pPr>
        <w:pStyle w:val="NormalWeb"/>
        <w:spacing w:beforeAutospacing="0" w:afterAutospacing="0"/>
        <w:ind w:firstLine="567"/>
        <w:jc w:val="both"/>
        <w:rPr>
          <w:sz w:val="28"/>
          <w:szCs w:val="28"/>
        </w:rPr>
      </w:pPr>
      <w:r>
        <w:rPr>
          <w:sz w:val="28"/>
          <w:szCs w:val="28"/>
        </w:rPr>
        <w:t xml:space="preserve">- </w:t>
      </w:r>
      <w:r w:rsidR="0014721F" w:rsidRPr="00D96ACC">
        <w:rPr>
          <w:sz w:val="28"/>
          <w:szCs w:val="28"/>
        </w:rPr>
        <w:t>Đoàn giám sát có trách nhiệm thông báo nội dung, kế hoạch, đề cương báo cáo cho cơ quan, tổ chức, cá nhân chịu sự giám sát chậm nhất là 15 ngày kể từ ngày ra quyết định thành lập Đoàn giám sát; thông báo chương trình và thành phần Đoàn giám sát chậm nhất là 10 ngày trước ngày Đoàn làm việc với cơ quan, tổ chức, cá nhân chịu sự giám sát</w:t>
      </w:r>
      <w:r w:rsidR="0014721F">
        <w:rPr>
          <w:sz w:val="28"/>
          <w:szCs w:val="28"/>
        </w:rPr>
        <w:t>.</w:t>
      </w:r>
    </w:p>
    <w:p w:rsidR="0014721F" w:rsidRPr="00D96ACC" w:rsidRDefault="0014721F" w:rsidP="00297408">
      <w:pPr>
        <w:pStyle w:val="NormalWeb"/>
        <w:spacing w:beforeAutospacing="0" w:afterAutospacing="0"/>
        <w:ind w:firstLine="567"/>
        <w:jc w:val="both"/>
        <w:rPr>
          <w:sz w:val="28"/>
          <w:szCs w:val="28"/>
        </w:rPr>
      </w:pPr>
      <w:r>
        <w:rPr>
          <w:rStyle w:val="Emphasis"/>
          <w:sz w:val="28"/>
          <w:szCs w:val="28"/>
        </w:rPr>
        <w:t xml:space="preserve">- </w:t>
      </w:r>
      <w:r>
        <w:rPr>
          <w:rStyle w:val="Emphasis"/>
          <w:i w:val="0"/>
          <w:sz w:val="28"/>
          <w:szCs w:val="28"/>
        </w:rPr>
        <w:t>X</w:t>
      </w:r>
      <w:r w:rsidRPr="00D96ACC">
        <w:rPr>
          <w:sz w:val="28"/>
          <w:szCs w:val="28"/>
        </w:rPr>
        <w:t>ây dựng kế hoạch giám sát, lịch làm việc cụ thể, trong đó xác định thời gian, địa điểm, thành phần và cách thức làm việc. Trong kế hoạch giám sát cần phải bố trí thời gian để họp nội bộ Đoàn giám sát, phân công nhiệm vụ cho Trưởng đoàn, Phó đoàn và các thành viên; yêu cầu cơ quan, đơn vị chịu sự giám sát báo cáo và gửi về theo địa chỉ của Đoàn giám sát; yêu cầu Văn phòng tổ chức phục vụ các hoạt động giám sát và các yêu cầu khác nếu có.</w:t>
      </w:r>
    </w:p>
    <w:p w:rsidR="0014721F" w:rsidRPr="003B7DDF" w:rsidRDefault="0014721F" w:rsidP="00297408">
      <w:pPr>
        <w:pStyle w:val="NormalWeb"/>
        <w:spacing w:beforeAutospacing="0" w:afterAutospacing="0"/>
        <w:ind w:firstLine="567"/>
        <w:jc w:val="both"/>
        <w:rPr>
          <w:spacing w:val="-2"/>
          <w:sz w:val="28"/>
          <w:szCs w:val="28"/>
        </w:rPr>
      </w:pPr>
      <w:r w:rsidRPr="003B7DDF">
        <w:rPr>
          <w:rStyle w:val="Emphasis"/>
          <w:spacing w:val="-2"/>
          <w:sz w:val="28"/>
          <w:szCs w:val="28"/>
        </w:rPr>
        <w:t xml:space="preserve">- </w:t>
      </w:r>
      <w:r w:rsidRPr="003B7DDF">
        <w:rPr>
          <w:rStyle w:val="Emphasis"/>
          <w:i w:val="0"/>
          <w:spacing w:val="-2"/>
          <w:sz w:val="28"/>
          <w:szCs w:val="28"/>
        </w:rPr>
        <w:t>X</w:t>
      </w:r>
      <w:r w:rsidRPr="003B7DDF">
        <w:rPr>
          <w:spacing w:val="-2"/>
          <w:sz w:val="28"/>
          <w:szCs w:val="28"/>
        </w:rPr>
        <w:t xml:space="preserve">ây dựng đề cương báo cáo: cần chi tiết, mỗi đơn vị khác nhau và nội dung khác nhau phải có đề cương riêng cho từng cơ quan, đơn vị; nếu nội dung có liên quan đến việc lập biểu </w:t>
      </w:r>
      <w:r w:rsidR="00D83DC4">
        <w:rPr>
          <w:spacing w:val="-2"/>
          <w:sz w:val="28"/>
          <w:szCs w:val="28"/>
        </w:rPr>
        <w:t xml:space="preserve">mẫu </w:t>
      </w:r>
      <w:r w:rsidRPr="003B7DDF">
        <w:rPr>
          <w:spacing w:val="-2"/>
          <w:sz w:val="28"/>
          <w:szCs w:val="28"/>
        </w:rPr>
        <w:t xml:space="preserve">để dễ theo dõi, cần thiết kế biểu </w:t>
      </w:r>
      <w:r w:rsidR="00D83DC4">
        <w:rPr>
          <w:spacing w:val="-2"/>
          <w:sz w:val="28"/>
          <w:szCs w:val="28"/>
        </w:rPr>
        <w:t xml:space="preserve">mẫu </w:t>
      </w:r>
      <w:r w:rsidRPr="003B7DDF">
        <w:rPr>
          <w:spacing w:val="-2"/>
          <w:sz w:val="28"/>
          <w:szCs w:val="28"/>
        </w:rPr>
        <w:t xml:space="preserve">kèm theo để các cơ quan báo cáo. </w:t>
      </w:r>
    </w:p>
    <w:p w:rsidR="003D0AB3" w:rsidRDefault="0024272F" w:rsidP="00297408">
      <w:pPr>
        <w:spacing w:before="100" w:after="100"/>
        <w:ind w:firstLine="567"/>
        <w:jc w:val="both"/>
        <w:rPr>
          <w:sz w:val="28"/>
          <w:szCs w:val="28"/>
        </w:rPr>
      </w:pPr>
      <w:r>
        <w:rPr>
          <w:sz w:val="28"/>
          <w:szCs w:val="28"/>
        </w:rPr>
        <w:t xml:space="preserve">- Chuẩn bị danh mục các văn bản chỉ đạo liên quan đến chuyên đề giám sát (Luật, Nghị định, Thông tư, </w:t>
      </w:r>
      <w:r w:rsidR="00D71E35">
        <w:rPr>
          <w:sz w:val="28"/>
          <w:szCs w:val="28"/>
        </w:rPr>
        <w:t xml:space="preserve">Nghị quyết, </w:t>
      </w:r>
      <w:r>
        <w:rPr>
          <w:sz w:val="28"/>
          <w:szCs w:val="28"/>
        </w:rPr>
        <w:t>Quyết định, Đề án,…</w:t>
      </w:r>
      <w:r w:rsidR="002323CC">
        <w:rPr>
          <w:sz w:val="28"/>
          <w:szCs w:val="28"/>
        </w:rPr>
        <w:t>)</w:t>
      </w:r>
      <w:r w:rsidR="0014721F">
        <w:rPr>
          <w:sz w:val="28"/>
          <w:szCs w:val="28"/>
        </w:rPr>
        <w:t>; phân công các thành viên nghiên cứu báo cáo của đơn vị chịu sự giám sát, so sánh với các chỉ tiêu và quy định của pháp luật.</w:t>
      </w:r>
      <w:r w:rsidR="003D0AB3">
        <w:rPr>
          <w:sz w:val="28"/>
          <w:szCs w:val="28"/>
        </w:rPr>
        <w:t xml:space="preserve"> Văn phòng có nhiệm vụ chuẩn bị điều kiện, phương tiện, kinh phí, ghi âm, chụp ảnh và ghi biên bản kết luận…</w:t>
      </w:r>
    </w:p>
    <w:p w:rsidR="003D0AB3" w:rsidRPr="00D96ACC" w:rsidRDefault="003D0AB3" w:rsidP="00297408">
      <w:pPr>
        <w:pStyle w:val="NormalWeb"/>
        <w:spacing w:beforeAutospacing="0" w:afterAutospacing="0"/>
        <w:ind w:firstLine="567"/>
        <w:jc w:val="both"/>
        <w:rPr>
          <w:sz w:val="28"/>
          <w:szCs w:val="28"/>
        </w:rPr>
      </w:pPr>
      <w:r>
        <w:rPr>
          <w:sz w:val="28"/>
          <w:szCs w:val="28"/>
        </w:rPr>
        <w:lastRenderedPageBreak/>
        <w:t xml:space="preserve">- </w:t>
      </w:r>
      <w:r w:rsidRPr="00D96ACC">
        <w:rPr>
          <w:sz w:val="28"/>
          <w:szCs w:val="28"/>
        </w:rPr>
        <w:t>Trước khi triển khai giám sát, Trưởng đoàn tổ chức phiên họp đoàn giám sát để nắm lại tình hình chuẩn bị báo cáo, tài liệu tham khảo và các điều kiện cần thiết phục vụ cho đợt giám sát, đồng thời phân công nhiệm vụ cho các thành viên, yêu cầu các thành viên đoàn giám sát nêu cao tinh thần trách nhiệm chủ động nghiên cứu tài liệu, có ý kiến tham gia tại các buổi làm việc và có báo cáo kết quả bằng văn bản về nội dung được phân công.</w:t>
      </w:r>
    </w:p>
    <w:p w:rsidR="002323CC" w:rsidRPr="0014721F" w:rsidRDefault="00D71E35" w:rsidP="00297408">
      <w:pPr>
        <w:spacing w:before="100" w:after="100"/>
        <w:ind w:firstLine="567"/>
        <w:jc w:val="both"/>
        <w:rPr>
          <w:b/>
          <w:sz w:val="28"/>
          <w:szCs w:val="28"/>
        </w:rPr>
      </w:pPr>
      <w:r w:rsidRPr="0014721F">
        <w:rPr>
          <w:b/>
          <w:sz w:val="28"/>
          <w:szCs w:val="28"/>
        </w:rPr>
        <w:t>2.</w:t>
      </w:r>
      <w:r w:rsidR="00D96ACC" w:rsidRPr="0014721F">
        <w:rPr>
          <w:b/>
          <w:sz w:val="28"/>
          <w:szCs w:val="28"/>
        </w:rPr>
        <w:t>2.</w:t>
      </w:r>
      <w:r w:rsidR="002323CC" w:rsidRPr="0014721F">
        <w:rPr>
          <w:b/>
          <w:sz w:val="28"/>
          <w:szCs w:val="28"/>
        </w:rPr>
        <w:t xml:space="preserve"> Tổ chức giám sát</w:t>
      </w:r>
    </w:p>
    <w:p w:rsidR="002323CC" w:rsidRDefault="002323CC" w:rsidP="00297408">
      <w:pPr>
        <w:spacing w:before="100" w:after="100"/>
        <w:ind w:firstLine="567"/>
        <w:jc w:val="both"/>
        <w:rPr>
          <w:sz w:val="28"/>
          <w:szCs w:val="28"/>
        </w:rPr>
      </w:pPr>
      <w:r>
        <w:rPr>
          <w:sz w:val="28"/>
          <w:szCs w:val="28"/>
        </w:rPr>
        <w:t xml:space="preserve">- </w:t>
      </w:r>
      <w:r w:rsidR="00D71E35">
        <w:rPr>
          <w:sz w:val="28"/>
          <w:szCs w:val="28"/>
        </w:rPr>
        <w:t xml:space="preserve">Tổ chức </w:t>
      </w:r>
      <w:r>
        <w:rPr>
          <w:sz w:val="28"/>
          <w:szCs w:val="28"/>
        </w:rPr>
        <w:t xml:space="preserve">khảo sát thực tế </w:t>
      </w:r>
      <w:r w:rsidR="00D71E35">
        <w:rPr>
          <w:sz w:val="28"/>
          <w:szCs w:val="28"/>
        </w:rPr>
        <w:t xml:space="preserve">một số địa phương </w:t>
      </w:r>
      <w:r>
        <w:rPr>
          <w:sz w:val="28"/>
          <w:szCs w:val="28"/>
        </w:rPr>
        <w:t>và làm việc với địa phương, đơn vị</w:t>
      </w:r>
      <w:r w:rsidR="00026CE5">
        <w:rPr>
          <w:sz w:val="28"/>
          <w:szCs w:val="28"/>
        </w:rPr>
        <w:t>: khảo sát thực tế để mắt thấy, tai nghe và so sánh với báo cáo,…</w:t>
      </w:r>
      <w:r w:rsidR="0099068F">
        <w:rPr>
          <w:sz w:val="28"/>
          <w:szCs w:val="28"/>
        </w:rPr>
        <w:t>Lưu ý mời các cơ quan truyền thông, quay phim, chụp ảnh, ghi âm,…</w:t>
      </w:r>
    </w:p>
    <w:p w:rsidR="00DE5E5E" w:rsidRDefault="00DE5E5E" w:rsidP="00297408">
      <w:pPr>
        <w:spacing w:before="100" w:after="100"/>
        <w:ind w:firstLine="567"/>
        <w:jc w:val="both"/>
        <w:rPr>
          <w:sz w:val="28"/>
          <w:szCs w:val="28"/>
        </w:rPr>
      </w:pPr>
      <w:r>
        <w:rPr>
          <w:sz w:val="28"/>
          <w:szCs w:val="28"/>
        </w:rPr>
        <w:t xml:space="preserve">- Tổ chức làm việc </w:t>
      </w:r>
      <w:r w:rsidR="003D0AB3" w:rsidRPr="00D96ACC">
        <w:rPr>
          <w:sz w:val="28"/>
          <w:szCs w:val="28"/>
        </w:rPr>
        <w:t xml:space="preserve">tại cơ quan, đơn vị, Trưởng đoàn giám sát thông báo nội dung, thành phần, mục đích, yêu cầu và kế hoạch giám sát đến các đại biểu dự họp; thống nhất cách thức tiến hành </w:t>
      </w:r>
      <w:r w:rsidR="003D0AB3">
        <w:rPr>
          <w:sz w:val="28"/>
          <w:szCs w:val="28"/>
        </w:rPr>
        <w:t>làm việc</w:t>
      </w:r>
      <w:r w:rsidR="003D0AB3" w:rsidRPr="00D96ACC">
        <w:rPr>
          <w:sz w:val="28"/>
          <w:szCs w:val="28"/>
        </w:rPr>
        <w:t>, nghe đại diện cơ quan chịu sự giám sát trình bày báo cáo</w:t>
      </w:r>
      <w:r w:rsidR="00F10F4F">
        <w:rPr>
          <w:sz w:val="28"/>
          <w:szCs w:val="28"/>
        </w:rPr>
        <w:t xml:space="preserve"> trước</w:t>
      </w:r>
      <w:r>
        <w:rPr>
          <w:sz w:val="28"/>
          <w:szCs w:val="28"/>
        </w:rPr>
        <w:t xml:space="preserve">. Trưởng đoàn gợi ý nội dung thảo luận, chú ý phát huy vai trò, thế mạnh của từng đại biểu để đặt vấn đề yêu cầu đơn vị chịu sự giám sát giải trình làm rõ (nếu có); có thể chiếu những hình ảnh khi đi khảo sát thực tế để minh họa thêm báo cáo và làm chứng cứ thuyết phục. </w:t>
      </w:r>
    </w:p>
    <w:p w:rsidR="00DE5E5E" w:rsidRDefault="00DE5E5E" w:rsidP="00297408">
      <w:pPr>
        <w:spacing w:before="100" w:after="100"/>
        <w:ind w:firstLine="567"/>
        <w:jc w:val="both"/>
        <w:rPr>
          <w:sz w:val="28"/>
          <w:szCs w:val="28"/>
        </w:rPr>
      </w:pPr>
      <w:r>
        <w:rPr>
          <w:sz w:val="28"/>
          <w:szCs w:val="28"/>
        </w:rPr>
        <w:t xml:space="preserve">- </w:t>
      </w:r>
      <w:r w:rsidR="003D0AB3" w:rsidRPr="00D96ACC">
        <w:rPr>
          <w:sz w:val="28"/>
          <w:szCs w:val="28"/>
        </w:rPr>
        <w:t xml:space="preserve">Sau khi nghe ý kiến giải trình, nếu không còn ý kiến khác, Trưởng đoàn sơ bộ kết luận nội dung buổi làm việc để đưa vào biên bản phiên họp, trong kết luận buổi làm việc </w:t>
      </w:r>
      <w:r>
        <w:rPr>
          <w:sz w:val="28"/>
          <w:szCs w:val="28"/>
        </w:rPr>
        <w:t xml:space="preserve">cần </w:t>
      </w:r>
      <w:r w:rsidR="003D0AB3" w:rsidRPr="00D96ACC">
        <w:rPr>
          <w:sz w:val="28"/>
          <w:szCs w:val="28"/>
        </w:rPr>
        <w:t>nêu rõ quan điểm có nhất trí với kết quả đạt được và những vấn đề còn tồn tại, hạn chế như trong báo cáo hay không, những vấn đề cần phải tiếp tục làm rõ và những vấn đề cần phải xem xét.</w:t>
      </w:r>
      <w:r>
        <w:rPr>
          <w:sz w:val="28"/>
          <w:szCs w:val="28"/>
        </w:rPr>
        <w:t xml:space="preserve"> Lưu ý phân phối thời gian sao cho hợp lý, tránh kéo dài quá giờ.</w:t>
      </w:r>
    </w:p>
    <w:p w:rsidR="00DE5E5E" w:rsidRPr="00D96ACC" w:rsidRDefault="00DE5E5E" w:rsidP="00297408">
      <w:pPr>
        <w:pStyle w:val="NormalWeb"/>
        <w:spacing w:beforeAutospacing="0" w:afterAutospacing="0"/>
        <w:ind w:firstLine="567"/>
        <w:jc w:val="both"/>
        <w:rPr>
          <w:sz w:val="28"/>
          <w:szCs w:val="28"/>
        </w:rPr>
      </w:pPr>
      <w:r>
        <w:rPr>
          <w:sz w:val="28"/>
          <w:szCs w:val="28"/>
        </w:rPr>
        <w:t xml:space="preserve">- Trường hợp, Đoàn giám sát </w:t>
      </w:r>
      <w:r w:rsidRPr="00D96ACC">
        <w:rPr>
          <w:sz w:val="28"/>
          <w:szCs w:val="28"/>
        </w:rPr>
        <w:t xml:space="preserve">phát hiện có hành vi vi phạm pháp luật, gây thiệt hại đến lợi ích của Nhà nước, quyền và lợi ích hợp pháp của tổ chức, cá nhân thì Đoàn giám sát có quyền yêu cầu cơ quan, tổ chức, cá nhân hữu quan áp dụng các biện pháp cần thiết để kịp thời chấm dứt hành vi vi phạm pháp luật </w:t>
      </w:r>
      <w:r w:rsidR="00D06E26">
        <w:rPr>
          <w:sz w:val="28"/>
          <w:szCs w:val="28"/>
        </w:rPr>
        <w:t>đó và</w:t>
      </w:r>
      <w:r w:rsidRPr="00D96ACC">
        <w:rPr>
          <w:sz w:val="28"/>
          <w:szCs w:val="28"/>
        </w:rPr>
        <w:t xml:space="preserve"> xử lý</w:t>
      </w:r>
      <w:r w:rsidR="00D06E26">
        <w:rPr>
          <w:sz w:val="28"/>
          <w:szCs w:val="28"/>
        </w:rPr>
        <w:t xml:space="preserve"> theo quy định của pháp luật</w:t>
      </w:r>
      <w:r w:rsidRPr="00D96ACC">
        <w:rPr>
          <w:sz w:val="28"/>
          <w:szCs w:val="28"/>
        </w:rPr>
        <w:t>.</w:t>
      </w:r>
    </w:p>
    <w:p w:rsidR="00026CE5" w:rsidRPr="00D06E26" w:rsidRDefault="00DE5E5E" w:rsidP="00297408">
      <w:pPr>
        <w:spacing w:before="100" w:after="100"/>
        <w:ind w:firstLine="567"/>
        <w:jc w:val="both"/>
        <w:rPr>
          <w:b/>
          <w:sz w:val="28"/>
          <w:szCs w:val="28"/>
        </w:rPr>
      </w:pPr>
      <w:r w:rsidRPr="00D06E26">
        <w:rPr>
          <w:b/>
          <w:sz w:val="28"/>
          <w:szCs w:val="28"/>
        </w:rPr>
        <w:t xml:space="preserve">2.3. </w:t>
      </w:r>
      <w:r w:rsidR="00026CE5" w:rsidRPr="00D06E26">
        <w:rPr>
          <w:b/>
          <w:sz w:val="28"/>
          <w:szCs w:val="28"/>
        </w:rPr>
        <w:t>Sau giám sát</w:t>
      </w:r>
    </w:p>
    <w:p w:rsidR="00D06E26" w:rsidRDefault="00D71E35" w:rsidP="00297408">
      <w:pPr>
        <w:spacing w:before="100" w:after="100"/>
        <w:ind w:firstLine="567"/>
        <w:jc w:val="both"/>
        <w:rPr>
          <w:sz w:val="28"/>
          <w:szCs w:val="28"/>
        </w:rPr>
      </w:pPr>
      <w:r>
        <w:rPr>
          <w:sz w:val="28"/>
          <w:szCs w:val="28"/>
        </w:rPr>
        <w:t>- Tổ chức phiên giải trình, ban hành nghị quyết nếu xét thấy cần thiết</w:t>
      </w:r>
      <w:r w:rsidR="00D06E26">
        <w:rPr>
          <w:sz w:val="28"/>
          <w:szCs w:val="28"/>
        </w:rPr>
        <w:t xml:space="preserve"> (HĐND, Thường trực HĐND</w:t>
      </w:r>
      <w:r>
        <w:rPr>
          <w:sz w:val="28"/>
          <w:szCs w:val="28"/>
        </w:rPr>
        <w:t>);</w:t>
      </w:r>
    </w:p>
    <w:p w:rsidR="00D06E26" w:rsidRDefault="00D06E26" w:rsidP="00297408">
      <w:pPr>
        <w:spacing w:before="100" w:after="100"/>
        <w:ind w:firstLine="567"/>
        <w:jc w:val="both"/>
        <w:rPr>
          <w:sz w:val="28"/>
          <w:szCs w:val="28"/>
        </w:rPr>
      </w:pPr>
      <w:r>
        <w:rPr>
          <w:sz w:val="28"/>
          <w:szCs w:val="28"/>
        </w:rPr>
        <w:t xml:space="preserve"> </w:t>
      </w:r>
      <w:r w:rsidR="0099068F">
        <w:rPr>
          <w:sz w:val="28"/>
          <w:szCs w:val="28"/>
        </w:rPr>
        <w:t xml:space="preserve">- </w:t>
      </w:r>
      <w:r>
        <w:rPr>
          <w:sz w:val="28"/>
          <w:szCs w:val="28"/>
        </w:rPr>
        <w:t xml:space="preserve">Xây dựng </w:t>
      </w:r>
      <w:r w:rsidRPr="00D96ACC">
        <w:rPr>
          <w:sz w:val="28"/>
          <w:szCs w:val="28"/>
        </w:rPr>
        <w:t xml:space="preserve">báo cáo kết quả giám sát </w:t>
      </w:r>
      <w:r>
        <w:rPr>
          <w:sz w:val="28"/>
          <w:szCs w:val="28"/>
        </w:rPr>
        <w:t>(chậm nhất trong 10 - 15 ngày) và</w:t>
      </w:r>
      <w:r w:rsidRPr="00D96ACC">
        <w:rPr>
          <w:sz w:val="28"/>
          <w:szCs w:val="28"/>
        </w:rPr>
        <w:t xml:space="preserve"> gửi đến cơ quan, tổ chức, cá nhân chịu sự giám sát. </w:t>
      </w:r>
    </w:p>
    <w:p w:rsidR="00D06E26" w:rsidRPr="00D96ACC" w:rsidRDefault="00D06E26" w:rsidP="00297408">
      <w:pPr>
        <w:spacing w:before="100" w:after="100"/>
        <w:ind w:firstLine="567"/>
        <w:jc w:val="both"/>
        <w:rPr>
          <w:sz w:val="28"/>
          <w:szCs w:val="28"/>
        </w:rPr>
      </w:pPr>
      <w:r>
        <w:rPr>
          <w:sz w:val="28"/>
          <w:szCs w:val="28"/>
        </w:rPr>
        <w:t xml:space="preserve">- </w:t>
      </w:r>
      <w:r w:rsidRPr="00D96ACC">
        <w:rPr>
          <w:sz w:val="28"/>
          <w:szCs w:val="28"/>
        </w:rPr>
        <w:t>Bố cục của Báo cáo kết quả giám sát thường được thiết kế thành 3 phần chính, bao gồm: Phần I - Kết quả thực hiện nhiệm vụ</w:t>
      </w:r>
      <w:r w:rsidR="00D83DC4">
        <w:rPr>
          <w:sz w:val="28"/>
          <w:szCs w:val="28"/>
        </w:rPr>
        <w:t xml:space="preserve"> (gồm có: đặc điểm tình hình, công tác chỉ đạo, triển khai thực hiện</w:t>
      </w:r>
      <w:r w:rsidR="00357085">
        <w:rPr>
          <w:sz w:val="28"/>
          <w:szCs w:val="28"/>
        </w:rPr>
        <w:t>; tuyên truyền; kết quả thực hiện</w:t>
      </w:r>
      <w:r w:rsidR="00D83DC4">
        <w:rPr>
          <w:sz w:val="28"/>
          <w:szCs w:val="28"/>
        </w:rPr>
        <w:t>…).</w:t>
      </w:r>
      <w:r w:rsidR="00357085">
        <w:rPr>
          <w:sz w:val="28"/>
          <w:szCs w:val="28"/>
        </w:rPr>
        <w:t xml:space="preserve"> </w:t>
      </w:r>
      <w:r w:rsidRPr="00D96ACC">
        <w:rPr>
          <w:sz w:val="28"/>
          <w:szCs w:val="28"/>
        </w:rPr>
        <w:t>Phần II - Một số tồn tại, hạn chế</w:t>
      </w:r>
      <w:r w:rsidR="00357085">
        <w:rPr>
          <w:sz w:val="28"/>
          <w:szCs w:val="28"/>
        </w:rPr>
        <w:t xml:space="preserve"> (đánh giá hạn chế, làm rõ nguyên nhân khách quan, chủ quan.</w:t>
      </w:r>
      <w:r w:rsidRPr="00D96ACC">
        <w:rPr>
          <w:sz w:val="28"/>
          <w:szCs w:val="28"/>
        </w:rPr>
        <w:t xml:space="preserve"> Phần </w:t>
      </w:r>
      <w:r w:rsidR="00357085">
        <w:rPr>
          <w:sz w:val="28"/>
          <w:szCs w:val="28"/>
        </w:rPr>
        <w:t>III</w:t>
      </w:r>
      <w:r w:rsidRPr="00D96ACC">
        <w:rPr>
          <w:sz w:val="28"/>
          <w:szCs w:val="28"/>
        </w:rPr>
        <w:t xml:space="preserve"> - Những kiến nghị đề xuất</w:t>
      </w:r>
      <w:r w:rsidR="00357085">
        <w:rPr>
          <w:sz w:val="28"/>
          <w:szCs w:val="28"/>
        </w:rPr>
        <w:t xml:space="preserve"> (những vướng mắc của Luật, Nghị định, Thông tư, Nghị quyết của HĐND làm hạn chế trong quá trình thực hiện, kiến nghị sửa điều, khoản nào của quy định pháp luật phải cụ thể)</w:t>
      </w:r>
      <w:r w:rsidRPr="00D96ACC">
        <w:rPr>
          <w:sz w:val="28"/>
          <w:szCs w:val="28"/>
        </w:rPr>
        <w:t xml:space="preserve">. Tùy theo nội dung, có thể thêm phần đánh giá chung và phần nguyên nhân những hạn chế. </w:t>
      </w:r>
    </w:p>
    <w:bookmarkStart w:id="2" w:name="_GoBack"/>
    <w:p w:rsidR="00D06E26" w:rsidRDefault="00D06E26" w:rsidP="00297408">
      <w:pPr>
        <w:spacing w:before="100" w:after="100"/>
        <w:ind w:firstLine="567"/>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831619</wp:posOffset>
                </wp:positionV>
                <wp:extent cx="275760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7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77B3B" id="Straight Connector 1"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65.5pt" to="217.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03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" strokecolor="#5b9bd5 [3204]" strokeweight=".5pt">
                <v:stroke joinstyle="miter"/>
                <w10:wrap anchorx="page"/>
              </v:line>
            </w:pict>
          </mc:Fallback>
        </mc:AlternateContent>
      </w:r>
      <w:r>
        <w:rPr>
          <w:sz w:val="28"/>
          <w:szCs w:val="28"/>
        </w:rPr>
        <w:t xml:space="preserve">- Theo dõi việc thực hiện </w:t>
      </w:r>
      <w:r w:rsidR="00357085">
        <w:rPr>
          <w:sz w:val="28"/>
          <w:szCs w:val="28"/>
        </w:rPr>
        <w:t xml:space="preserve">các </w:t>
      </w:r>
      <w:r>
        <w:rPr>
          <w:sz w:val="28"/>
          <w:szCs w:val="28"/>
        </w:rPr>
        <w:t xml:space="preserve">kết luận giám sát, </w:t>
      </w:r>
      <w:r w:rsidRPr="00D96ACC">
        <w:rPr>
          <w:sz w:val="28"/>
          <w:szCs w:val="28"/>
        </w:rPr>
        <w:t>nếu các kiến nghị không được giải quyết</w:t>
      </w:r>
      <w:r>
        <w:rPr>
          <w:sz w:val="28"/>
          <w:szCs w:val="28"/>
        </w:rPr>
        <w:t xml:space="preserve"> thì Đoàn giám sát tiếp tục giám sát việc giải quyết các kiến nghị sau giám sát; đồng thời chất vấn tại kỳ họp./.</w:t>
      </w:r>
      <w:bookmarkEnd w:id="2"/>
    </w:p>
    <w:sectPr w:rsidR="00D06E26" w:rsidSect="00297408">
      <w:footerReference w:type="default" r:id="rId7"/>
      <w:pgSz w:w="11907" w:h="16840" w:code="9"/>
      <w:pgMar w:top="1134"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A3" w:rsidRDefault="001D5BA3" w:rsidP="0079122B">
      <w:r>
        <w:separator/>
      </w:r>
    </w:p>
  </w:endnote>
  <w:endnote w:type="continuationSeparator" w:id="0">
    <w:p w:rsidR="001D5BA3" w:rsidRDefault="001D5BA3" w:rsidP="007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11150"/>
      <w:docPartObj>
        <w:docPartGallery w:val="Page Numbers (Bottom of Page)"/>
        <w:docPartUnique/>
      </w:docPartObj>
    </w:sdtPr>
    <w:sdtEndPr>
      <w:rPr>
        <w:noProof/>
      </w:rPr>
    </w:sdtEndPr>
    <w:sdtContent>
      <w:p w:rsidR="0079122B" w:rsidRDefault="0079122B">
        <w:pPr>
          <w:pStyle w:val="Footer"/>
          <w:jc w:val="right"/>
        </w:pPr>
        <w:r>
          <w:fldChar w:fldCharType="begin"/>
        </w:r>
        <w:r>
          <w:instrText xml:space="preserve"> PAGE   \* MERGEFORMAT </w:instrText>
        </w:r>
        <w:r>
          <w:fldChar w:fldCharType="separate"/>
        </w:r>
        <w:r w:rsidR="005E4B4F">
          <w:rPr>
            <w:noProof/>
          </w:rPr>
          <w:t>4</w:t>
        </w:r>
        <w:r>
          <w:rPr>
            <w:noProof/>
          </w:rPr>
          <w:fldChar w:fldCharType="end"/>
        </w:r>
      </w:p>
    </w:sdtContent>
  </w:sdt>
  <w:p w:rsidR="0079122B" w:rsidRDefault="007912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A3" w:rsidRDefault="001D5BA3" w:rsidP="0079122B">
      <w:r>
        <w:separator/>
      </w:r>
    </w:p>
  </w:footnote>
  <w:footnote w:type="continuationSeparator" w:id="0">
    <w:p w:rsidR="001D5BA3" w:rsidRDefault="001D5BA3" w:rsidP="00791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2B4"/>
    <w:multiLevelType w:val="hybridMultilevel"/>
    <w:tmpl w:val="85E2D31E"/>
    <w:lvl w:ilvl="0" w:tplc="4954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14B9B"/>
    <w:multiLevelType w:val="hybridMultilevel"/>
    <w:tmpl w:val="8DBE2EF8"/>
    <w:lvl w:ilvl="0" w:tplc="F2F8A6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3480942"/>
    <w:multiLevelType w:val="hybridMultilevel"/>
    <w:tmpl w:val="209EC4CC"/>
    <w:lvl w:ilvl="0" w:tplc="9886B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1F042B"/>
    <w:multiLevelType w:val="hybridMultilevel"/>
    <w:tmpl w:val="56208358"/>
    <w:lvl w:ilvl="0" w:tplc="26BA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D175B4"/>
    <w:multiLevelType w:val="hybridMultilevel"/>
    <w:tmpl w:val="8FDC6628"/>
    <w:lvl w:ilvl="0" w:tplc="0AA01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06"/>
    <w:rsid w:val="00005D93"/>
    <w:rsid w:val="00026CE5"/>
    <w:rsid w:val="000D58FB"/>
    <w:rsid w:val="00114318"/>
    <w:rsid w:val="0014721F"/>
    <w:rsid w:val="001D5BA3"/>
    <w:rsid w:val="001D70E6"/>
    <w:rsid w:val="002323CC"/>
    <w:rsid w:val="0024272F"/>
    <w:rsid w:val="00297408"/>
    <w:rsid w:val="00305F72"/>
    <w:rsid w:val="00357085"/>
    <w:rsid w:val="003B7DDF"/>
    <w:rsid w:val="003D0AB3"/>
    <w:rsid w:val="003F2212"/>
    <w:rsid w:val="00466764"/>
    <w:rsid w:val="00486254"/>
    <w:rsid w:val="0050319F"/>
    <w:rsid w:val="00593C4C"/>
    <w:rsid w:val="005E4B4F"/>
    <w:rsid w:val="00602B55"/>
    <w:rsid w:val="00605C4E"/>
    <w:rsid w:val="006246AC"/>
    <w:rsid w:val="0073378F"/>
    <w:rsid w:val="0079122B"/>
    <w:rsid w:val="007A544B"/>
    <w:rsid w:val="007A65E5"/>
    <w:rsid w:val="007C2506"/>
    <w:rsid w:val="007D33C7"/>
    <w:rsid w:val="008072A7"/>
    <w:rsid w:val="00824730"/>
    <w:rsid w:val="00852877"/>
    <w:rsid w:val="008E4EE4"/>
    <w:rsid w:val="0099068F"/>
    <w:rsid w:val="00A11EF0"/>
    <w:rsid w:val="00A30096"/>
    <w:rsid w:val="00AC040D"/>
    <w:rsid w:val="00BF219A"/>
    <w:rsid w:val="00C11C46"/>
    <w:rsid w:val="00C13216"/>
    <w:rsid w:val="00C361F6"/>
    <w:rsid w:val="00C97860"/>
    <w:rsid w:val="00CC6E43"/>
    <w:rsid w:val="00D06E26"/>
    <w:rsid w:val="00D60FD1"/>
    <w:rsid w:val="00D6242E"/>
    <w:rsid w:val="00D70529"/>
    <w:rsid w:val="00D71E35"/>
    <w:rsid w:val="00D83DC4"/>
    <w:rsid w:val="00D96ACC"/>
    <w:rsid w:val="00DE2A49"/>
    <w:rsid w:val="00DE5E5E"/>
    <w:rsid w:val="00DE6AE2"/>
    <w:rsid w:val="00DF0C46"/>
    <w:rsid w:val="00DF3DE8"/>
    <w:rsid w:val="00DF4D74"/>
    <w:rsid w:val="00E422BB"/>
    <w:rsid w:val="00E576F8"/>
    <w:rsid w:val="00EE48D4"/>
    <w:rsid w:val="00F10F4F"/>
    <w:rsid w:val="00F4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2783"/>
  <w15:chartTrackingRefBased/>
  <w15:docId w15:val="{DDA5A8CB-B4E4-4993-B500-6D652F28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06"/>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30"/>
    <w:pPr>
      <w:ind w:left="720"/>
      <w:contextualSpacing/>
    </w:pPr>
  </w:style>
  <w:style w:type="paragraph" w:styleId="NormalWeb">
    <w:name w:val="Normal (Web)"/>
    <w:basedOn w:val="Normal"/>
    <w:uiPriority w:val="99"/>
    <w:unhideWhenUsed/>
    <w:rsid w:val="00824730"/>
    <w:pPr>
      <w:spacing w:before="100" w:beforeAutospacing="1" w:after="100" w:afterAutospacing="1"/>
    </w:pPr>
  </w:style>
  <w:style w:type="character" w:styleId="Strong">
    <w:name w:val="Strong"/>
    <w:basedOn w:val="DefaultParagraphFont"/>
    <w:uiPriority w:val="22"/>
    <w:qFormat/>
    <w:rsid w:val="00824730"/>
    <w:rPr>
      <w:b/>
      <w:bCs/>
    </w:rPr>
  </w:style>
  <w:style w:type="paragraph" w:styleId="BodyText">
    <w:name w:val="Body Text"/>
    <w:basedOn w:val="Normal"/>
    <w:link w:val="BodyTextChar"/>
    <w:uiPriority w:val="99"/>
    <w:semiHidden/>
    <w:unhideWhenUsed/>
    <w:rsid w:val="00824730"/>
    <w:pPr>
      <w:spacing w:before="100" w:beforeAutospacing="1" w:after="100" w:afterAutospacing="1"/>
    </w:pPr>
  </w:style>
  <w:style w:type="character" w:customStyle="1" w:styleId="BodyTextChar">
    <w:name w:val="Body Text Char"/>
    <w:basedOn w:val="DefaultParagraphFont"/>
    <w:link w:val="BodyText"/>
    <w:uiPriority w:val="99"/>
    <w:semiHidden/>
    <w:rsid w:val="00824730"/>
    <w:rPr>
      <w:rFonts w:eastAsia="Times New Roman" w:cs="Times New Roman"/>
      <w:sz w:val="24"/>
      <w:szCs w:val="24"/>
    </w:rPr>
  </w:style>
  <w:style w:type="paragraph" w:styleId="BalloonText">
    <w:name w:val="Balloon Text"/>
    <w:basedOn w:val="Normal"/>
    <w:link w:val="BalloonTextChar"/>
    <w:uiPriority w:val="99"/>
    <w:semiHidden/>
    <w:unhideWhenUsed/>
    <w:rsid w:val="0060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55"/>
    <w:rPr>
      <w:rFonts w:ascii="Segoe UI" w:eastAsia="Times New Roman" w:hAnsi="Segoe UI" w:cs="Segoe UI"/>
      <w:sz w:val="18"/>
      <w:szCs w:val="18"/>
    </w:rPr>
  </w:style>
  <w:style w:type="paragraph" w:styleId="Header">
    <w:name w:val="header"/>
    <w:basedOn w:val="Normal"/>
    <w:link w:val="HeaderChar"/>
    <w:uiPriority w:val="99"/>
    <w:unhideWhenUsed/>
    <w:rsid w:val="0079122B"/>
    <w:pPr>
      <w:tabs>
        <w:tab w:val="center" w:pos="4680"/>
        <w:tab w:val="right" w:pos="9360"/>
      </w:tabs>
    </w:pPr>
  </w:style>
  <w:style w:type="character" w:customStyle="1" w:styleId="HeaderChar">
    <w:name w:val="Header Char"/>
    <w:basedOn w:val="DefaultParagraphFont"/>
    <w:link w:val="Header"/>
    <w:uiPriority w:val="99"/>
    <w:rsid w:val="0079122B"/>
    <w:rPr>
      <w:rFonts w:eastAsia="Times New Roman" w:cs="Times New Roman"/>
      <w:sz w:val="24"/>
      <w:szCs w:val="24"/>
    </w:rPr>
  </w:style>
  <w:style w:type="paragraph" w:styleId="Footer">
    <w:name w:val="footer"/>
    <w:basedOn w:val="Normal"/>
    <w:link w:val="FooterChar"/>
    <w:uiPriority w:val="99"/>
    <w:unhideWhenUsed/>
    <w:rsid w:val="0079122B"/>
    <w:pPr>
      <w:tabs>
        <w:tab w:val="center" w:pos="4680"/>
        <w:tab w:val="right" w:pos="9360"/>
      </w:tabs>
    </w:pPr>
  </w:style>
  <w:style w:type="character" w:customStyle="1" w:styleId="FooterChar">
    <w:name w:val="Footer Char"/>
    <w:basedOn w:val="DefaultParagraphFont"/>
    <w:link w:val="Footer"/>
    <w:uiPriority w:val="99"/>
    <w:rsid w:val="0079122B"/>
    <w:rPr>
      <w:rFonts w:eastAsia="Times New Roman" w:cs="Times New Roman"/>
      <w:sz w:val="24"/>
      <w:szCs w:val="24"/>
    </w:rPr>
  </w:style>
  <w:style w:type="character" w:styleId="Emphasis">
    <w:name w:val="Emphasis"/>
    <w:basedOn w:val="DefaultParagraphFont"/>
    <w:uiPriority w:val="20"/>
    <w:qFormat/>
    <w:rsid w:val="00D96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2901">
      <w:bodyDiv w:val="1"/>
      <w:marLeft w:val="0"/>
      <w:marRight w:val="0"/>
      <w:marTop w:val="0"/>
      <w:marBottom w:val="0"/>
      <w:divBdr>
        <w:top w:val="none" w:sz="0" w:space="0" w:color="auto"/>
        <w:left w:val="none" w:sz="0" w:space="0" w:color="auto"/>
        <w:bottom w:val="none" w:sz="0" w:space="0" w:color="auto"/>
        <w:right w:val="none" w:sz="0" w:space="0" w:color="auto"/>
      </w:divBdr>
    </w:div>
    <w:div w:id="15405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Đức Tài</dc:creator>
  <cp:keywords/>
  <dc:description/>
  <cp:lastModifiedBy>Trịnh Đức Tài</cp:lastModifiedBy>
  <cp:revision>20</cp:revision>
  <cp:lastPrinted>2019-08-23T09:48:00Z</cp:lastPrinted>
  <dcterms:created xsi:type="dcterms:W3CDTF">2019-08-23T09:51:00Z</dcterms:created>
  <dcterms:modified xsi:type="dcterms:W3CDTF">2022-03-07T02:31:00Z</dcterms:modified>
</cp:coreProperties>
</file>